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41E75" w:rsidP="0035590C" w14:paraId="4EC59455" w14:textId="77777777">
      <w:pPr>
        <w:spacing w:line="480" w:lineRule="auto"/>
        <w:ind w:firstLine="720"/>
        <w:jc w:val="center"/>
        <w:rPr>
          <w:rFonts w:ascii="Times New Roman" w:hAnsi="Times New Roman" w:cs="Times New Roman"/>
          <w:sz w:val="24"/>
          <w:szCs w:val="24"/>
        </w:rPr>
      </w:pPr>
    </w:p>
    <w:p w:rsidR="00A41E75" w:rsidP="0035590C" w14:paraId="623440FD" w14:textId="77777777">
      <w:pPr>
        <w:spacing w:line="480" w:lineRule="auto"/>
        <w:ind w:firstLine="720"/>
        <w:jc w:val="center"/>
        <w:rPr>
          <w:rFonts w:ascii="Times New Roman" w:hAnsi="Times New Roman" w:cs="Times New Roman"/>
          <w:sz w:val="24"/>
          <w:szCs w:val="24"/>
        </w:rPr>
      </w:pPr>
    </w:p>
    <w:p w:rsidR="00A41E75" w:rsidP="0035590C" w14:paraId="77C960C4" w14:textId="77777777">
      <w:pPr>
        <w:spacing w:line="480" w:lineRule="auto"/>
        <w:ind w:firstLine="720"/>
        <w:jc w:val="center"/>
        <w:rPr>
          <w:rFonts w:ascii="Times New Roman" w:hAnsi="Times New Roman" w:cs="Times New Roman"/>
          <w:sz w:val="24"/>
          <w:szCs w:val="24"/>
        </w:rPr>
      </w:pPr>
    </w:p>
    <w:p w:rsidR="0058088E" w:rsidP="0035590C" w14:paraId="67BF0728" w14:textId="77777777">
      <w:pPr>
        <w:spacing w:line="480" w:lineRule="auto"/>
        <w:ind w:firstLine="720"/>
        <w:jc w:val="center"/>
        <w:rPr>
          <w:rFonts w:ascii="Times New Roman" w:hAnsi="Times New Roman" w:cs="Times New Roman"/>
          <w:sz w:val="24"/>
          <w:szCs w:val="24"/>
        </w:rPr>
      </w:pPr>
    </w:p>
    <w:p w:rsidR="00A41E75" w:rsidP="0035590C" w14:paraId="1CFBE614" w14:textId="77777777">
      <w:pPr>
        <w:spacing w:line="480" w:lineRule="auto"/>
        <w:ind w:firstLine="720"/>
        <w:jc w:val="center"/>
        <w:rPr>
          <w:rFonts w:ascii="Times New Roman" w:hAnsi="Times New Roman" w:cs="Times New Roman"/>
          <w:sz w:val="24"/>
          <w:szCs w:val="24"/>
        </w:rPr>
      </w:pPr>
    </w:p>
    <w:p w:rsidR="0035590C" w:rsidP="0035590C" w14:paraId="31E37175" w14:textId="06B65773">
      <w:pPr>
        <w:spacing w:line="480" w:lineRule="auto"/>
        <w:ind w:firstLine="720"/>
        <w:jc w:val="center"/>
        <w:rPr>
          <w:rFonts w:ascii="Times New Roman" w:hAnsi="Times New Roman" w:cs="Times New Roman"/>
          <w:sz w:val="24"/>
          <w:szCs w:val="24"/>
        </w:rPr>
      </w:pPr>
      <w:r w:rsidRPr="0035590C">
        <w:rPr>
          <w:rFonts w:ascii="Times New Roman" w:hAnsi="Times New Roman" w:cs="Times New Roman"/>
          <w:sz w:val="24"/>
          <w:szCs w:val="24"/>
        </w:rPr>
        <w:t xml:space="preserve">Search </w:t>
      </w:r>
      <w:r>
        <w:rPr>
          <w:rFonts w:ascii="Times New Roman" w:hAnsi="Times New Roman" w:cs="Times New Roman"/>
          <w:sz w:val="24"/>
          <w:szCs w:val="24"/>
        </w:rPr>
        <w:t>a</w:t>
      </w:r>
      <w:r w:rsidRPr="0035590C">
        <w:rPr>
          <w:rFonts w:ascii="Times New Roman" w:hAnsi="Times New Roman" w:cs="Times New Roman"/>
          <w:sz w:val="24"/>
          <w:szCs w:val="24"/>
        </w:rPr>
        <w:t>nd Seizure Protections</w:t>
      </w:r>
    </w:p>
    <w:p w:rsidR="00A41E75" w:rsidP="0035590C" w14:paraId="1C458383" w14:textId="5C21744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A41E75" w:rsidP="0035590C" w14:paraId="0A77B7C5" w14:textId="40E520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A41E75" w:rsidP="0035590C" w14:paraId="31168BC3" w14:textId="51E44CF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A41E75" w:rsidP="0035590C" w14:paraId="3E69DB0D" w14:textId="77777777">
      <w:pPr>
        <w:spacing w:line="480" w:lineRule="auto"/>
        <w:ind w:firstLine="720"/>
        <w:jc w:val="center"/>
        <w:rPr>
          <w:rFonts w:ascii="Times New Roman" w:hAnsi="Times New Roman" w:cs="Times New Roman"/>
          <w:sz w:val="24"/>
          <w:szCs w:val="24"/>
          <w:lang w:val="en-US"/>
        </w:rPr>
      </w:pPr>
    </w:p>
    <w:p w:rsidR="0035590C" w:rsidP="0035590C" w14:paraId="587D4502" w14:textId="77777777">
      <w:pPr>
        <w:spacing w:line="480" w:lineRule="auto"/>
        <w:ind w:firstLine="720"/>
        <w:rPr>
          <w:rFonts w:ascii="Times New Roman" w:hAnsi="Times New Roman" w:cs="Times New Roman"/>
          <w:sz w:val="24"/>
          <w:szCs w:val="24"/>
          <w:lang w:val="en-US"/>
        </w:rPr>
      </w:pPr>
    </w:p>
    <w:p w:rsidR="0035590C" w:rsidP="0035590C" w14:paraId="54CAFC7C" w14:textId="77777777">
      <w:pPr>
        <w:spacing w:line="480" w:lineRule="auto"/>
        <w:ind w:firstLine="720"/>
        <w:rPr>
          <w:rFonts w:ascii="Times New Roman" w:hAnsi="Times New Roman" w:cs="Times New Roman"/>
          <w:sz w:val="24"/>
          <w:szCs w:val="24"/>
          <w:lang w:val="en-US"/>
        </w:rPr>
      </w:pPr>
    </w:p>
    <w:p w:rsidR="0035590C" w:rsidP="0035590C" w14:paraId="1325EA78" w14:textId="77777777">
      <w:pPr>
        <w:spacing w:line="480" w:lineRule="auto"/>
        <w:ind w:firstLine="720"/>
        <w:rPr>
          <w:rFonts w:ascii="Times New Roman" w:hAnsi="Times New Roman" w:cs="Times New Roman"/>
          <w:sz w:val="24"/>
          <w:szCs w:val="24"/>
          <w:lang w:val="en-US"/>
        </w:rPr>
      </w:pPr>
    </w:p>
    <w:p w:rsidR="0035590C" w:rsidP="0035590C" w14:paraId="1F42D663" w14:textId="77777777">
      <w:pPr>
        <w:spacing w:line="480" w:lineRule="auto"/>
        <w:ind w:firstLine="720"/>
        <w:rPr>
          <w:rFonts w:ascii="Times New Roman" w:hAnsi="Times New Roman" w:cs="Times New Roman"/>
          <w:sz w:val="24"/>
          <w:szCs w:val="24"/>
          <w:lang w:val="en-US"/>
        </w:rPr>
      </w:pPr>
    </w:p>
    <w:p w:rsidR="0035590C" w:rsidP="0058088E" w14:paraId="6AEF0362" w14:textId="77777777">
      <w:pPr>
        <w:spacing w:line="480" w:lineRule="auto"/>
        <w:rPr>
          <w:rFonts w:ascii="Times New Roman" w:hAnsi="Times New Roman" w:cs="Times New Roman"/>
          <w:sz w:val="24"/>
          <w:szCs w:val="24"/>
          <w:lang w:val="en-US"/>
        </w:rPr>
      </w:pPr>
    </w:p>
    <w:p w:rsidR="0058088E" w14:paraId="48DFCA64" w14:textId="77777777">
      <w:pPr>
        <w:rPr>
          <w:rFonts w:ascii="Times New Roman" w:hAnsi="Times New Roman" w:cs="Times New Roman"/>
          <w:sz w:val="24"/>
          <w:szCs w:val="24"/>
        </w:rPr>
      </w:pPr>
      <w:r>
        <w:rPr>
          <w:rFonts w:ascii="Times New Roman" w:hAnsi="Times New Roman" w:cs="Times New Roman"/>
          <w:sz w:val="24"/>
          <w:szCs w:val="24"/>
        </w:rPr>
        <w:br w:type="page"/>
      </w:r>
    </w:p>
    <w:p w:rsidR="0035590C" w:rsidP="0058088E" w14:paraId="4898C5C3" w14:textId="285E689B">
      <w:pPr>
        <w:spacing w:line="480" w:lineRule="auto"/>
        <w:ind w:firstLine="720"/>
        <w:jc w:val="center"/>
        <w:rPr>
          <w:rFonts w:ascii="Times New Roman" w:hAnsi="Times New Roman" w:cs="Times New Roman"/>
          <w:sz w:val="24"/>
          <w:szCs w:val="24"/>
          <w:lang w:val="en-US"/>
        </w:rPr>
      </w:pPr>
      <w:r w:rsidRPr="0035590C">
        <w:rPr>
          <w:rFonts w:ascii="Times New Roman" w:hAnsi="Times New Roman" w:cs="Times New Roman"/>
          <w:sz w:val="24"/>
          <w:szCs w:val="24"/>
        </w:rPr>
        <w:t xml:space="preserve">Search </w:t>
      </w:r>
      <w:r>
        <w:rPr>
          <w:rFonts w:ascii="Times New Roman" w:hAnsi="Times New Roman" w:cs="Times New Roman"/>
          <w:sz w:val="24"/>
          <w:szCs w:val="24"/>
        </w:rPr>
        <w:t>a</w:t>
      </w:r>
      <w:r w:rsidRPr="0035590C">
        <w:rPr>
          <w:rFonts w:ascii="Times New Roman" w:hAnsi="Times New Roman" w:cs="Times New Roman"/>
          <w:sz w:val="24"/>
          <w:szCs w:val="24"/>
        </w:rPr>
        <w:t>nd Seizure Protections</w:t>
      </w:r>
    </w:p>
    <w:p w:rsidR="0035590C" w:rsidRPr="0035590C" w:rsidP="0035590C" w14:paraId="51BAC078" w14:textId="3A4A6CA0">
      <w:pPr>
        <w:spacing w:line="480" w:lineRule="auto"/>
        <w:ind w:firstLine="720"/>
        <w:rPr>
          <w:rFonts w:ascii="Times New Roman" w:hAnsi="Times New Roman" w:cs="Times New Roman"/>
          <w:sz w:val="24"/>
          <w:szCs w:val="24"/>
          <w:lang w:val="en-US"/>
        </w:rPr>
      </w:pPr>
      <w:r w:rsidRPr="0035590C">
        <w:rPr>
          <w:rFonts w:ascii="Times New Roman" w:hAnsi="Times New Roman" w:cs="Times New Roman"/>
          <w:sz w:val="24"/>
          <w:szCs w:val="24"/>
          <w:lang w:val="en-US"/>
        </w:rPr>
        <w:t xml:space="preserve">The </w:t>
      </w:r>
      <w:r w:rsidRPr="0035590C" w:rsidR="0058088E">
        <w:rPr>
          <w:rFonts w:ascii="Times New Roman" w:hAnsi="Times New Roman" w:cs="Times New Roman"/>
          <w:sz w:val="24"/>
          <w:szCs w:val="24"/>
          <w:lang w:val="en-US"/>
        </w:rPr>
        <w:t>Supreme Court</w:t>
      </w:r>
      <w:r w:rsidRPr="0035590C">
        <w:rPr>
          <w:rFonts w:ascii="Times New Roman" w:hAnsi="Times New Roman" w:cs="Times New Roman"/>
          <w:sz w:val="24"/>
          <w:szCs w:val="24"/>
          <w:lang w:val="en-US"/>
        </w:rPr>
        <w:t xml:space="preserve"> has ruled and given limited powers to the police concerning interrogations, searches and warrants because according to the fourth amendment of the US constitution, the privacy of every citizen should be observed in conformity with the law. Every citizen should be free from undue government invasion into their property, homes, persons, and businesses irrespective of whether it happens via police stops of individuals while walking on the streets, searches or arrests of businesses and homes. </w:t>
      </w:r>
      <w:r w:rsidR="0058088E">
        <w:rPr>
          <w:rFonts w:ascii="Times New Roman" w:hAnsi="Times New Roman" w:cs="Times New Roman"/>
          <w:sz w:val="24"/>
          <w:szCs w:val="24"/>
          <w:lang w:val="en-US"/>
        </w:rPr>
        <w:t xml:space="preserve">According to </w:t>
      </w:r>
      <w:r w:rsidR="0058088E">
        <w:rPr>
          <w:rFonts w:ascii="Times New Roman" w:hAnsi="Times New Roman" w:cs="Times New Roman"/>
          <w:sz w:val="24"/>
          <w:szCs w:val="24"/>
          <w:lang w:val="en-US"/>
        </w:rPr>
        <w:t>Justia</w:t>
      </w:r>
      <w:r w:rsidR="0058088E">
        <w:rPr>
          <w:rFonts w:ascii="Times New Roman" w:hAnsi="Times New Roman" w:cs="Times New Roman"/>
          <w:sz w:val="24"/>
          <w:szCs w:val="24"/>
          <w:lang w:val="en-US"/>
        </w:rPr>
        <w:t xml:space="preserve"> Law</w:t>
      </w:r>
      <w:r w:rsidRPr="0035590C">
        <w:rPr>
          <w:rFonts w:ascii="Times New Roman" w:hAnsi="Times New Roman" w:cs="Times New Roman"/>
          <w:sz w:val="24"/>
          <w:szCs w:val="24"/>
          <w:lang w:val="en-US"/>
        </w:rPr>
        <w:t xml:space="preserve"> (2019), the courts, as well as the lawmakers, have established legal safeguards to ascertain that law enforcement agencies can only violate a person’s fourth amendment rights under limited scenarios and even if it occurs there are particular approaches to be followed. In the realm of criminal law, the 4th amendment, which is further categorized as ‘search and seizure’ safeguards the interest of citizens against a police officer’s physical seizure employing arrest or stop. A police officer’s searches of items and places where the owner has lawful anticipation of privacy such as clothing, vehicle, apartment, hotel room, purse, luggage, place of business and house are also regulated by the amendment.</w:t>
      </w:r>
    </w:p>
    <w:p w:rsidR="0035590C" w:rsidRPr="0035590C" w:rsidP="0035590C" w14:paraId="0476A34C" w14:textId="3582F145">
      <w:pPr>
        <w:spacing w:line="480" w:lineRule="auto"/>
        <w:ind w:firstLine="720"/>
        <w:rPr>
          <w:rFonts w:ascii="Times New Roman" w:hAnsi="Times New Roman" w:cs="Times New Roman"/>
          <w:sz w:val="24"/>
          <w:szCs w:val="24"/>
          <w:lang w:val="en-US"/>
        </w:rPr>
      </w:pPr>
      <w:r w:rsidRPr="0035590C">
        <w:rPr>
          <w:rFonts w:ascii="Times New Roman" w:hAnsi="Times New Roman" w:cs="Times New Roman"/>
          <w:sz w:val="24"/>
          <w:szCs w:val="24"/>
          <w:lang w:val="en-US"/>
        </w:rPr>
        <w:t>The fifth amendment dictates that no “No citizen should be held accountable for an infamous offense, unless indicted by a grand jury, with the exemption of cases emerging from the naval or land forces or when dealing with the militia, during the time of war o</w:t>
      </w:r>
      <w:r w:rsidR="0058088E">
        <w:rPr>
          <w:rFonts w:ascii="Times New Roman" w:hAnsi="Times New Roman" w:cs="Times New Roman"/>
          <w:sz w:val="24"/>
          <w:szCs w:val="24"/>
          <w:lang w:val="en-US"/>
        </w:rPr>
        <w:t>r when the public is endangered</w:t>
      </w:r>
      <w:r w:rsidRPr="0035590C">
        <w:rPr>
          <w:rFonts w:ascii="Times New Roman" w:hAnsi="Times New Roman" w:cs="Times New Roman"/>
          <w:sz w:val="24"/>
          <w:szCs w:val="24"/>
          <w:lang w:val="en-US"/>
        </w:rPr>
        <w:t>” (</w:t>
      </w:r>
      <w:r w:rsidRPr="0035590C">
        <w:rPr>
          <w:rFonts w:ascii="Times New Roman" w:hAnsi="Times New Roman" w:cs="Times New Roman"/>
          <w:sz w:val="24"/>
          <w:szCs w:val="24"/>
          <w:lang w:val="en-US"/>
        </w:rPr>
        <w:t>Justia</w:t>
      </w:r>
      <w:r w:rsidRPr="0035590C">
        <w:rPr>
          <w:rFonts w:ascii="Times New Roman" w:hAnsi="Times New Roman" w:cs="Times New Roman"/>
          <w:sz w:val="24"/>
          <w:szCs w:val="24"/>
          <w:lang w:val="en-US"/>
        </w:rPr>
        <w:t xml:space="preserve"> Law, 2019) Additionally, the amendment maintains that no citizen shall be a force in a criminal offense case to bear witness against himself or be deprived of property, life or liberty without proper adherence to the due process of law. Therefore, the amendment makes the courts deny self-incrimination by police and unreasonable interrogation. </w:t>
      </w:r>
    </w:p>
    <w:p w:rsidR="0035590C" w:rsidRPr="0035590C" w:rsidP="0035590C" w14:paraId="56635D12" w14:textId="77777777">
      <w:pPr>
        <w:spacing w:line="480" w:lineRule="auto"/>
        <w:rPr>
          <w:rFonts w:ascii="Times New Roman" w:hAnsi="Times New Roman" w:cs="Times New Roman"/>
          <w:sz w:val="24"/>
          <w:szCs w:val="24"/>
          <w:lang w:val="en-US"/>
        </w:rPr>
      </w:pPr>
      <w:r w:rsidRPr="0035590C">
        <w:rPr>
          <w:rFonts w:ascii="Times New Roman" w:hAnsi="Times New Roman" w:cs="Times New Roman"/>
          <w:sz w:val="24"/>
          <w:szCs w:val="24"/>
          <w:lang w:val="en-US"/>
        </w:rPr>
        <w:t xml:space="preserve">The acts of the court are further justified in the sixth amendment that safeguards the rights offenders such as the right to a lawyer, trial without unneeded delay, the right to know the people that accused you, and the right to be given an impartial free judge as well as the right to be familiarized about one’s charges and the available evidence against one’s trial. </w:t>
      </w:r>
    </w:p>
    <w:p w:rsidR="0035590C" w:rsidRPr="0035590C" w:rsidP="0035590C" w14:paraId="3CF659CD" w14:textId="2A0F3C58">
      <w:pPr>
        <w:spacing w:line="480" w:lineRule="auto"/>
        <w:ind w:firstLine="720"/>
        <w:rPr>
          <w:rFonts w:ascii="Times New Roman" w:hAnsi="Times New Roman" w:cs="Times New Roman"/>
          <w:sz w:val="24"/>
          <w:szCs w:val="24"/>
          <w:lang w:val="en-US"/>
        </w:rPr>
      </w:pPr>
      <w:r w:rsidRPr="0035590C">
        <w:rPr>
          <w:rFonts w:ascii="Times New Roman" w:hAnsi="Times New Roman" w:cs="Times New Roman"/>
          <w:sz w:val="24"/>
          <w:szCs w:val="24"/>
          <w:lang w:val="en-US"/>
        </w:rPr>
        <w:t xml:space="preserve">The police should abide by the rules of Marquess of Queensbury when dealing with suspects who behave like thugs to control contact (Elmer, 2016). A reluctant suspect can be forced to comply when hands are placed on and the formation of </w:t>
      </w:r>
      <w:r w:rsidR="00A41E75">
        <w:rPr>
          <w:rFonts w:ascii="Times New Roman" w:hAnsi="Times New Roman" w:cs="Times New Roman"/>
          <w:sz w:val="24"/>
          <w:szCs w:val="24"/>
          <w:lang w:val="en-US"/>
        </w:rPr>
        <w:t>a</w:t>
      </w:r>
      <w:r w:rsidRPr="0035590C">
        <w:rPr>
          <w:rFonts w:ascii="Times New Roman" w:hAnsi="Times New Roman" w:cs="Times New Roman"/>
          <w:sz w:val="24"/>
          <w:szCs w:val="24"/>
          <w:lang w:val="en-US"/>
        </w:rPr>
        <w:t xml:space="preserve"> posture of arrest. In many cases, the police officer assumes the control of the suspect’s arm while ensuring that he maintains himself to the sideways or rea</w:t>
      </w:r>
      <w:r w:rsidR="00A41E75">
        <w:rPr>
          <w:rFonts w:ascii="Times New Roman" w:hAnsi="Times New Roman" w:cs="Times New Roman"/>
          <w:sz w:val="24"/>
          <w:szCs w:val="24"/>
          <w:lang w:val="en-US"/>
        </w:rPr>
        <w:t>r</w:t>
      </w:r>
      <w:r w:rsidRPr="0035590C">
        <w:rPr>
          <w:rFonts w:ascii="Times New Roman" w:hAnsi="Times New Roman" w:cs="Times New Roman"/>
          <w:sz w:val="24"/>
          <w:szCs w:val="24"/>
          <w:lang w:val="en-US"/>
        </w:rPr>
        <w:t xml:space="preserve"> of the criminal. The police should abide by these rules to allow necessary flexibility if the suspect continues to be resistant. It is essential since it completes the sense of futility to suppress the aggression from the suspect further. Another reason why the police should abide by the rules of Marquess of Queensbury is </w:t>
      </w:r>
      <w:r w:rsidRPr="0035590C" w:rsidR="00A41E75">
        <w:rPr>
          <w:rFonts w:ascii="Times New Roman" w:hAnsi="Times New Roman" w:cs="Times New Roman"/>
          <w:sz w:val="24"/>
          <w:szCs w:val="24"/>
          <w:lang w:val="en-US"/>
        </w:rPr>
        <w:t>especially</w:t>
      </w:r>
      <w:r w:rsidRPr="0035590C">
        <w:rPr>
          <w:rFonts w:ascii="Times New Roman" w:hAnsi="Times New Roman" w:cs="Times New Roman"/>
          <w:sz w:val="24"/>
          <w:szCs w:val="24"/>
          <w:lang w:val="en-US"/>
        </w:rPr>
        <w:t xml:space="preserve"> to act in reciprocal to resistance. </w:t>
      </w:r>
    </w:p>
    <w:p w:rsidR="0035590C" w:rsidRPr="0035590C" w:rsidP="0035590C" w14:paraId="51DFD447" w14:textId="2F2FE1B3">
      <w:pPr>
        <w:spacing w:line="480" w:lineRule="auto"/>
        <w:ind w:firstLine="720"/>
        <w:rPr>
          <w:rFonts w:ascii="Times New Roman" w:hAnsi="Times New Roman" w:cs="Times New Roman"/>
          <w:sz w:val="24"/>
          <w:szCs w:val="24"/>
          <w:lang w:val="en-US"/>
        </w:rPr>
      </w:pPr>
      <w:r w:rsidRPr="0035590C">
        <w:rPr>
          <w:rFonts w:ascii="Times New Roman" w:hAnsi="Times New Roman" w:cs="Times New Roman"/>
          <w:sz w:val="24"/>
          <w:szCs w:val="24"/>
          <w:lang w:val="en-US"/>
        </w:rPr>
        <w:t xml:space="preserve">The police should be punished if they distort substantial and tangible evidence since according to regulations of alteration, falsification or destruction of record during investigations by federal authority and bankruptcy dictates that </w:t>
      </w:r>
      <w:r w:rsidR="00A41E75">
        <w:rPr>
          <w:rFonts w:ascii="Times New Roman" w:hAnsi="Times New Roman" w:cs="Times New Roman"/>
          <w:sz w:val="24"/>
          <w:szCs w:val="24"/>
          <w:lang w:val="en-US"/>
        </w:rPr>
        <w:t>“A</w:t>
      </w:r>
      <w:r w:rsidRPr="0035590C">
        <w:rPr>
          <w:rFonts w:ascii="Times New Roman" w:hAnsi="Times New Roman" w:cs="Times New Roman"/>
          <w:sz w:val="24"/>
          <w:szCs w:val="24"/>
          <w:lang w:val="en-US"/>
        </w:rPr>
        <w:t>ny person in his right senses mutilates, alters, falsifies, conceals, covers up or creates a false entry in any document, tangible or record object with the intention to destroy, obstruct or trigger proper administration or the investigation of any issue under the law such a person should be punished by being jailed not less than 20 year</w:t>
      </w:r>
      <w:r w:rsidR="00A41E75">
        <w:rPr>
          <w:rFonts w:ascii="Times New Roman" w:hAnsi="Times New Roman" w:cs="Times New Roman"/>
          <w:sz w:val="24"/>
          <w:szCs w:val="24"/>
          <w:lang w:val="en-US"/>
        </w:rPr>
        <w:t xml:space="preserve">.” </w:t>
      </w:r>
      <w:r w:rsidRPr="0035590C">
        <w:rPr>
          <w:rFonts w:ascii="Times New Roman" w:hAnsi="Times New Roman" w:cs="Times New Roman"/>
          <w:sz w:val="24"/>
          <w:szCs w:val="24"/>
          <w:lang w:val="en-US"/>
        </w:rPr>
        <w:t xml:space="preserve">Therefore, the police officers should be regulated using this law to ensure no evidence is obstructed. </w:t>
      </w:r>
    </w:p>
    <w:p w:rsidR="0035590C" w:rsidRPr="0035590C" w:rsidP="0035590C" w14:paraId="12DF9A96" w14:textId="3225E2C0">
      <w:pPr>
        <w:spacing w:line="480" w:lineRule="auto"/>
        <w:ind w:firstLine="720"/>
        <w:rPr>
          <w:rFonts w:ascii="Times New Roman" w:hAnsi="Times New Roman" w:cs="Times New Roman"/>
          <w:sz w:val="24"/>
          <w:szCs w:val="24"/>
          <w:lang w:val="en-US"/>
        </w:rPr>
      </w:pPr>
      <w:r w:rsidRPr="0035590C">
        <w:rPr>
          <w:rFonts w:ascii="Times New Roman" w:hAnsi="Times New Roman" w:cs="Times New Roman"/>
          <w:sz w:val="24"/>
          <w:szCs w:val="24"/>
          <w:lang w:val="en-US"/>
        </w:rPr>
        <w:t xml:space="preserve">Spoliation of evidence harms the plaintiff as well as the offending party’s case. Most often, when it is found that a party spoiled the evidence, it leads to the court compelling the jury </w:t>
      </w:r>
      <w:r w:rsidRPr="0035590C">
        <w:rPr>
          <w:rFonts w:ascii="Times New Roman" w:hAnsi="Times New Roman" w:cs="Times New Roman"/>
          <w:sz w:val="24"/>
          <w:szCs w:val="24"/>
          <w:lang w:val="en-US"/>
        </w:rPr>
        <w:t>to draw a severe inference contrary to the offending party. It is then assumed that the evidence which was destroyed had the potential to harm the case to the offending part</w:t>
      </w:r>
      <w:r w:rsidR="00A41E75">
        <w:rPr>
          <w:rFonts w:ascii="Times New Roman" w:hAnsi="Times New Roman" w:cs="Times New Roman"/>
          <w:sz w:val="24"/>
          <w:szCs w:val="24"/>
          <w:lang w:val="en-US"/>
        </w:rPr>
        <w:t xml:space="preserve">y </w:t>
      </w:r>
      <w:r w:rsidRPr="00A41E75" w:rsidR="00A41E75">
        <w:rPr>
          <w:rFonts w:ascii="Times New Roman" w:hAnsi="Times New Roman" w:cs="Times New Roman"/>
          <w:sz w:val="24"/>
          <w:szCs w:val="24"/>
          <w:lang w:val="en-US"/>
        </w:rPr>
        <w:t>(Cynthia, 2010).</w:t>
      </w:r>
      <w:r w:rsidRPr="0035590C">
        <w:rPr>
          <w:rFonts w:ascii="Times New Roman" w:hAnsi="Times New Roman" w:cs="Times New Roman"/>
          <w:sz w:val="24"/>
          <w:szCs w:val="24"/>
          <w:lang w:val="en-US"/>
        </w:rPr>
        <w:t xml:space="preserve"> When that occurs, it merely means the gam</w:t>
      </w:r>
      <w:bookmarkStart w:id="0" w:name="_GoBack"/>
      <w:bookmarkEnd w:id="0"/>
      <w:r w:rsidRPr="0035590C">
        <w:rPr>
          <w:rFonts w:ascii="Times New Roman" w:hAnsi="Times New Roman" w:cs="Times New Roman"/>
          <w:sz w:val="24"/>
          <w:szCs w:val="24"/>
          <w:lang w:val="en-US"/>
        </w:rPr>
        <w:t xml:space="preserve">e is over for the offending party. </w:t>
      </w:r>
    </w:p>
    <w:p w:rsidR="0035590C" w:rsidRPr="0035590C" w:rsidP="0035590C" w14:paraId="0C9BA74A" w14:textId="14B9DFC0">
      <w:pPr>
        <w:spacing w:line="480" w:lineRule="auto"/>
        <w:ind w:firstLine="720"/>
        <w:rPr>
          <w:rFonts w:ascii="Times New Roman" w:hAnsi="Times New Roman" w:cs="Times New Roman"/>
          <w:sz w:val="24"/>
          <w:szCs w:val="24"/>
          <w:lang w:val="en-US"/>
        </w:rPr>
      </w:pPr>
      <w:r w:rsidRPr="0035590C">
        <w:rPr>
          <w:rFonts w:ascii="Times New Roman" w:hAnsi="Times New Roman" w:cs="Times New Roman"/>
          <w:sz w:val="24"/>
          <w:szCs w:val="24"/>
          <w:lang w:val="en-US"/>
        </w:rPr>
        <w:t>There should be no room for exclusionary rule in the criminal justice system of the United States because scholars have demonstrated that the rule is extremely ambiguous (</w:t>
      </w:r>
      <w:r w:rsidRPr="0035590C">
        <w:rPr>
          <w:rFonts w:ascii="Times New Roman" w:hAnsi="Times New Roman" w:cs="Times New Roman"/>
          <w:sz w:val="24"/>
          <w:szCs w:val="24"/>
          <w:lang w:val="en-US"/>
        </w:rPr>
        <w:t>Kinports</w:t>
      </w:r>
      <w:r w:rsidRPr="0035590C">
        <w:rPr>
          <w:rFonts w:ascii="Times New Roman" w:hAnsi="Times New Roman" w:cs="Times New Roman"/>
          <w:sz w:val="24"/>
          <w:szCs w:val="24"/>
          <w:lang w:val="en-US"/>
        </w:rPr>
        <w:t xml:space="preserve">, 2012). While the exclusionary rule is believed to be fair, possess many virtues, it has no sense of clarity. The rule is only aroused by those defendants who want the exemption of evidence that is presumably probative. The rule fails to come into service for innocent suspects whose rights have been breached because there is a lack of evidence to exempt. Therefore, it means that the exclusionary rule is bias since it only benefits those who are guilty instead of benefiting both the innocent and </w:t>
      </w:r>
      <w:r w:rsidR="0058088E">
        <w:rPr>
          <w:rFonts w:ascii="Times New Roman" w:hAnsi="Times New Roman" w:cs="Times New Roman"/>
          <w:sz w:val="24"/>
          <w:szCs w:val="24"/>
          <w:lang w:val="en-US"/>
        </w:rPr>
        <w:t xml:space="preserve">the guilty. According to </w:t>
      </w:r>
      <w:r w:rsidR="0058088E">
        <w:rPr>
          <w:rFonts w:ascii="Times New Roman" w:hAnsi="Times New Roman" w:cs="Times New Roman"/>
          <w:sz w:val="24"/>
          <w:szCs w:val="24"/>
          <w:lang w:val="en-US"/>
        </w:rPr>
        <w:t>Sundby</w:t>
      </w:r>
      <w:r w:rsidRPr="0035590C">
        <w:rPr>
          <w:rFonts w:ascii="Times New Roman" w:hAnsi="Times New Roman" w:cs="Times New Roman"/>
          <w:sz w:val="24"/>
          <w:szCs w:val="24"/>
          <w:lang w:val="en-US"/>
        </w:rPr>
        <w:t xml:space="preserve"> (2012)</w:t>
      </w:r>
      <w:r w:rsidR="0058088E">
        <w:rPr>
          <w:rFonts w:ascii="Times New Roman" w:hAnsi="Times New Roman" w:cs="Times New Roman"/>
          <w:sz w:val="24"/>
          <w:szCs w:val="24"/>
          <w:lang w:val="en-US"/>
        </w:rPr>
        <w:t>,</w:t>
      </w:r>
      <w:r w:rsidRPr="0035590C">
        <w:rPr>
          <w:rFonts w:ascii="Times New Roman" w:hAnsi="Times New Roman" w:cs="Times New Roman"/>
          <w:sz w:val="24"/>
          <w:szCs w:val="24"/>
          <w:lang w:val="en-US"/>
        </w:rPr>
        <w:t xml:space="preserve"> nevertheless, to the point that exclusionary rule is created to minimize misconduct among the police officers across the spectrum, it is supposed to benefit the whole society in general including those individuals who are alleged to have participated in committing the crimes as well as those who have not. </w:t>
      </w:r>
      <w:r w:rsidR="00A41E75">
        <w:rPr>
          <w:rFonts w:ascii="Times New Roman" w:hAnsi="Times New Roman" w:cs="Times New Roman"/>
          <w:sz w:val="24"/>
          <w:szCs w:val="24"/>
          <w:lang w:val="en-US"/>
        </w:rPr>
        <w:t>The rule lacks relevance and as a result, it should not exist in the criminal justice system. 
</w:t>
      </w:r>
    </w:p>
    <w:p w:rsidR="0035590C" w:rsidRPr="0035590C" w:rsidP="0035590C" w14:paraId="649DD7B2" w14:textId="77777777">
      <w:pPr>
        <w:spacing w:line="480" w:lineRule="auto"/>
        <w:rPr>
          <w:rFonts w:ascii="Times New Roman" w:hAnsi="Times New Roman" w:cs="Times New Roman"/>
          <w:sz w:val="24"/>
          <w:szCs w:val="24"/>
          <w:lang w:val="en-US"/>
        </w:rPr>
      </w:pPr>
    </w:p>
    <w:p w:rsidR="0035590C" w:rsidP="0058088E" w14:paraId="6297782B" w14:textId="77777777">
      <w:pPr>
        <w:spacing w:line="480" w:lineRule="auto"/>
        <w:rPr>
          <w:rFonts w:ascii="Times New Roman" w:hAnsi="Times New Roman" w:cs="Times New Roman"/>
          <w:sz w:val="24"/>
          <w:szCs w:val="24"/>
          <w:lang w:val="en-US"/>
        </w:rPr>
      </w:pPr>
    </w:p>
    <w:p w:rsidR="0058088E" w14:paraId="64B68EA6"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35590C" w:rsidRPr="0035590C" w:rsidP="0058088E" w14:paraId="4A19AD61" w14:textId="547341F7">
      <w:pPr>
        <w:spacing w:line="480" w:lineRule="auto"/>
        <w:jc w:val="center"/>
        <w:rPr>
          <w:rFonts w:ascii="Times New Roman" w:hAnsi="Times New Roman" w:cs="Times New Roman"/>
          <w:sz w:val="24"/>
          <w:szCs w:val="24"/>
          <w:lang w:val="en-US"/>
        </w:rPr>
      </w:pPr>
      <w:r w:rsidRPr="0035590C">
        <w:rPr>
          <w:rFonts w:ascii="Times New Roman" w:hAnsi="Times New Roman" w:cs="Times New Roman"/>
          <w:sz w:val="24"/>
          <w:szCs w:val="24"/>
          <w:lang w:val="en-US"/>
        </w:rPr>
        <w:t>References</w:t>
      </w:r>
    </w:p>
    <w:p w:rsidR="0035590C" w:rsidRPr="0035590C" w:rsidP="0035590C" w14:paraId="561D3987" w14:textId="77777777">
      <w:pPr>
        <w:spacing w:line="480" w:lineRule="auto"/>
        <w:ind w:left="720" w:hanging="720"/>
        <w:rPr>
          <w:rFonts w:ascii="Times New Roman" w:hAnsi="Times New Roman" w:cs="Times New Roman"/>
          <w:sz w:val="24"/>
          <w:szCs w:val="24"/>
        </w:rPr>
      </w:pPr>
      <w:r w:rsidRPr="0035590C">
        <w:rPr>
          <w:rFonts w:ascii="Times New Roman" w:hAnsi="Times New Roman" w:cs="Times New Roman"/>
          <w:sz w:val="24"/>
          <w:szCs w:val="24"/>
        </w:rPr>
        <w:t xml:space="preserve">Cynthia E. J., (2010). A Reason to Doubt: The Suppression of Evidence and the Inference of Innocence. Journal of Criminal Law and Criminology. Retrieved from </w:t>
      </w:r>
      <w:hyperlink r:id="rId4" w:history="1">
        <w:r w:rsidRPr="0035590C">
          <w:rPr>
            <w:rStyle w:val="Hyperlink"/>
            <w:rFonts w:ascii="Times New Roman" w:hAnsi="Times New Roman" w:cs="Times New Roman"/>
            <w:sz w:val="24"/>
            <w:szCs w:val="24"/>
          </w:rPr>
          <w:t>https://scholarlycommons.law.northwestern.edu/cgi/viewcontent.cgi?article=7353&amp;context=jclc</w:t>
        </w:r>
      </w:hyperlink>
    </w:p>
    <w:p w:rsidR="0035590C" w:rsidRPr="0035590C" w:rsidP="0035590C" w14:paraId="3A34E156" w14:textId="77777777">
      <w:pPr>
        <w:spacing w:line="480" w:lineRule="auto"/>
        <w:ind w:left="720" w:hanging="720"/>
        <w:rPr>
          <w:rFonts w:ascii="Times New Roman" w:hAnsi="Times New Roman" w:cs="Times New Roman"/>
          <w:sz w:val="24"/>
          <w:szCs w:val="24"/>
        </w:rPr>
      </w:pPr>
      <w:r w:rsidRPr="0035590C">
        <w:rPr>
          <w:rFonts w:ascii="Times New Roman" w:hAnsi="Times New Roman" w:cs="Times New Roman"/>
          <w:sz w:val="24"/>
          <w:szCs w:val="24"/>
        </w:rPr>
        <w:t xml:space="preserve">Elmer H. J., (2016). Sociological Interpretation of Police Reaction and Responsibility to Civil Disobedience. Journal of Criminal Law and Criminology. Retrieved from </w:t>
      </w:r>
      <w:hyperlink r:id="rId5" w:history="1">
        <w:r w:rsidRPr="0035590C">
          <w:rPr>
            <w:rStyle w:val="Hyperlink"/>
            <w:rFonts w:ascii="Times New Roman" w:hAnsi="Times New Roman" w:cs="Times New Roman"/>
            <w:sz w:val="24"/>
            <w:szCs w:val="24"/>
          </w:rPr>
          <w:t>https://scholarlycommons.law.northwestern.edu/cgi/viewcontent.cgi?article=5473&amp;context=jclc</w:t>
        </w:r>
      </w:hyperlink>
    </w:p>
    <w:p w:rsidR="0035590C" w:rsidRPr="0035590C" w:rsidP="0035590C" w14:paraId="19B56C4C" w14:textId="77777777">
      <w:pPr>
        <w:spacing w:line="480" w:lineRule="auto"/>
        <w:ind w:left="720" w:hanging="720"/>
        <w:rPr>
          <w:rFonts w:ascii="Times New Roman" w:hAnsi="Times New Roman" w:cs="Times New Roman"/>
          <w:sz w:val="24"/>
          <w:szCs w:val="24"/>
        </w:rPr>
      </w:pPr>
      <w:r w:rsidRPr="0035590C">
        <w:rPr>
          <w:rFonts w:ascii="Times New Roman" w:hAnsi="Times New Roman" w:cs="Times New Roman"/>
          <w:sz w:val="24"/>
          <w:szCs w:val="24"/>
        </w:rPr>
        <w:t>Justia</w:t>
      </w:r>
      <w:r w:rsidRPr="0035590C">
        <w:rPr>
          <w:rFonts w:ascii="Times New Roman" w:hAnsi="Times New Roman" w:cs="Times New Roman"/>
          <w:sz w:val="24"/>
          <w:szCs w:val="24"/>
        </w:rPr>
        <w:t xml:space="preserve"> Law, (2019). Confessions: Police Interrogation, Due Process, and Self-Incrimination. </w:t>
      </w:r>
      <w:hyperlink r:id="rId6" w:history="1">
        <w:r w:rsidRPr="0035590C">
          <w:rPr>
            <w:rStyle w:val="Hyperlink"/>
            <w:rFonts w:ascii="Times New Roman" w:hAnsi="Times New Roman" w:cs="Times New Roman"/>
            <w:sz w:val="24"/>
            <w:szCs w:val="24"/>
          </w:rPr>
          <w:t>https://law.justia.com/constitution/us/amendment-05/09-confessions.html</w:t>
        </w:r>
      </w:hyperlink>
      <w:r w:rsidRPr="0035590C">
        <w:rPr>
          <w:rFonts w:ascii="Times New Roman" w:hAnsi="Times New Roman" w:cs="Times New Roman"/>
          <w:sz w:val="24"/>
          <w:szCs w:val="24"/>
        </w:rPr>
        <w:t xml:space="preserve"> </w:t>
      </w:r>
    </w:p>
    <w:p w:rsidR="0035590C" w:rsidRPr="0035590C" w:rsidP="0035590C" w14:paraId="60086118" w14:textId="77777777">
      <w:pPr>
        <w:spacing w:line="480" w:lineRule="auto"/>
        <w:ind w:left="720" w:hanging="720"/>
        <w:rPr>
          <w:rFonts w:ascii="Times New Roman" w:hAnsi="Times New Roman" w:cs="Times New Roman"/>
          <w:color w:val="222222"/>
          <w:sz w:val="24"/>
          <w:szCs w:val="24"/>
          <w:shd w:val="clear" w:color="auto" w:fill="FFFFFF"/>
        </w:rPr>
      </w:pPr>
      <w:r w:rsidRPr="0035590C">
        <w:rPr>
          <w:rFonts w:ascii="Times New Roman" w:hAnsi="Times New Roman" w:cs="Times New Roman"/>
          <w:color w:val="222222"/>
          <w:sz w:val="24"/>
          <w:szCs w:val="24"/>
          <w:shd w:val="clear" w:color="auto" w:fill="FFFFFF"/>
        </w:rPr>
        <w:t>Kinports</w:t>
      </w:r>
      <w:r w:rsidRPr="0035590C">
        <w:rPr>
          <w:rFonts w:ascii="Times New Roman" w:hAnsi="Times New Roman" w:cs="Times New Roman"/>
          <w:color w:val="222222"/>
          <w:sz w:val="24"/>
          <w:szCs w:val="24"/>
          <w:shd w:val="clear" w:color="auto" w:fill="FFFFFF"/>
        </w:rPr>
        <w:t>, K. (2012). Culpability, Deterrence, and the Exclusionary Rule. </w:t>
      </w:r>
      <w:r w:rsidRPr="0035590C">
        <w:rPr>
          <w:rFonts w:ascii="Times New Roman" w:hAnsi="Times New Roman" w:cs="Times New Roman"/>
          <w:i/>
          <w:iCs/>
          <w:color w:val="222222"/>
          <w:sz w:val="24"/>
          <w:szCs w:val="24"/>
          <w:shd w:val="clear" w:color="auto" w:fill="FFFFFF"/>
        </w:rPr>
        <w:t xml:space="preserve">Wm. &amp; Mary Bill </w:t>
      </w:r>
      <w:r w:rsidRPr="0035590C">
        <w:rPr>
          <w:rFonts w:ascii="Times New Roman" w:hAnsi="Times New Roman" w:cs="Times New Roman"/>
          <w:i/>
          <w:iCs/>
          <w:color w:val="222222"/>
          <w:sz w:val="24"/>
          <w:szCs w:val="24"/>
          <w:shd w:val="clear" w:color="auto" w:fill="FFFFFF"/>
        </w:rPr>
        <w:t>Rts</w:t>
      </w:r>
      <w:r w:rsidRPr="0035590C">
        <w:rPr>
          <w:rFonts w:ascii="Times New Roman" w:hAnsi="Times New Roman" w:cs="Times New Roman"/>
          <w:i/>
          <w:iCs/>
          <w:color w:val="222222"/>
          <w:sz w:val="24"/>
          <w:szCs w:val="24"/>
          <w:shd w:val="clear" w:color="auto" w:fill="FFFFFF"/>
        </w:rPr>
        <w:t>. J.</w:t>
      </w:r>
      <w:r w:rsidRPr="0035590C">
        <w:rPr>
          <w:rFonts w:ascii="Times New Roman" w:hAnsi="Times New Roman" w:cs="Times New Roman"/>
          <w:color w:val="222222"/>
          <w:sz w:val="24"/>
          <w:szCs w:val="24"/>
          <w:shd w:val="clear" w:color="auto" w:fill="FFFFFF"/>
        </w:rPr>
        <w:t>, </w:t>
      </w:r>
      <w:r w:rsidRPr="0035590C">
        <w:rPr>
          <w:rFonts w:ascii="Times New Roman" w:hAnsi="Times New Roman" w:cs="Times New Roman"/>
          <w:i/>
          <w:iCs/>
          <w:color w:val="222222"/>
          <w:sz w:val="24"/>
          <w:szCs w:val="24"/>
          <w:shd w:val="clear" w:color="auto" w:fill="FFFFFF"/>
        </w:rPr>
        <w:t>21</w:t>
      </w:r>
      <w:r w:rsidRPr="0035590C">
        <w:rPr>
          <w:rFonts w:ascii="Times New Roman" w:hAnsi="Times New Roman" w:cs="Times New Roman"/>
          <w:color w:val="222222"/>
          <w:sz w:val="24"/>
          <w:szCs w:val="24"/>
          <w:shd w:val="clear" w:color="auto" w:fill="FFFFFF"/>
        </w:rPr>
        <w:t>, 821.</w:t>
      </w:r>
    </w:p>
    <w:p w:rsidR="0035590C" w:rsidRPr="0035590C" w:rsidP="0035590C" w14:paraId="3C81CC7B" w14:textId="77777777">
      <w:pPr>
        <w:spacing w:line="480" w:lineRule="auto"/>
        <w:ind w:left="720" w:hanging="720"/>
        <w:rPr>
          <w:rFonts w:ascii="Times New Roman" w:hAnsi="Times New Roman" w:cs="Times New Roman"/>
          <w:sz w:val="24"/>
          <w:szCs w:val="24"/>
        </w:rPr>
      </w:pPr>
      <w:r w:rsidRPr="0035590C">
        <w:rPr>
          <w:rFonts w:ascii="Times New Roman" w:hAnsi="Times New Roman" w:cs="Times New Roman"/>
          <w:sz w:val="24"/>
          <w:szCs w:val="24"/>
        </w:rPr>
        <w:t xml:space="preserve">Moffit C., (2014). Destroying or Withholding of Evidence May Harm Your Case, Even if You Aren’t Officially Sanctioned. Retrieved from </w:t>
      </w:r>
      <w:hyperlink r:id="rId7" w:history="1">
        <w:r w:rsidRPr="0035590C">
          <w:rPr>
            <w:rStyle w:val="Hyperlink"/>
            <w:rFonts w:ascii="Times New Roman" w:hAnsi="Times New Roman" w:cs="Times New Roman"/>
            <w:sz w:val="24"/>
            <w:szCs w:val="24"/>
          </w:rPr>
          <w:t>https://www.foxrothschild.com/publications/destroying-or-withholding-of-evidence-may-harm-your-case-even-if-you-arent-officially-sanctioned/</w:t>
        </w:r>
      </w:hyperlink>
    </w:p>
    <w:p w:rsidR="0035590C" w:rsidRPr="0035590C" w:rsidP="0035590C" w14:paraId="5A8E60B3" w14:textId="77777777">
      <w:pPr>
        <w:spacing w:line="480" w:lineRule="auto"/>
        <w:ind w:left="720" w:hanging="720"/>
        <w:rPr>
          <w:rFonts w:ascii="Times New Roman" w:hAnsi="Times New Roman" w:cs="Times New Roman"/>
          <w:sz w:val="24"/>
          <w:szCs w:val="24"/>
        </w:rPr>
      </w:pPr>
      <w:r w:rsidRPr="0035590C">
        <w:rPr>
          <w:rFonts w:ascii="Times New Roman" w:hAnsi="Times New Roman" w:cs="Times New Roman"/>
          <w:color w:val="222222"/>
          <w:sz w:val="24"/>
          <w:szCs w:val="24"/>
          <w:shd w:val="clear" w:color="auto" w:fill="FFFFFF"/>
        </w:rPr>
        <w:t>Sundby</w:t>
      </w:r>
      <w:r w:rsidRPr="0035590C">
        <w:rPr>
          <w:rFonts w:ascii="Times New Roman" w:hAnsi="Times New Roman" w:cs="Times New Roman"/>
          <w:color w:val="222222"/>
          <w:sz w:val="24"/>
          <w:szCs w:val="24"/>
          <w:shd w:val="clear" w:color="auto" w:fill="FFFFFF"/>
        </w:rPr>
        <w:t>, S. E. (2012). Everyman's Exclusionary Rule: The Exclusionary Rule and the Rule of Law (or Why Conservatives Should Embrace the Exclusionary Rule). </w:t>
      </w:r>
      <w:r w:rsidRPr="0035590C">
        <w:rPr>
          <w:rFonts w:ascii="Times New Roman" w:hAnsi="Times New Roman" w:cs="Times New Roman"/>
          <w:i/>
          <w:iCs/>
          <w:color w:val="222222"/>
          <w:sz w:val="24"/>
          <w:szCs w:val="24"/>
          <w:shd w:val="clear" w:color="auto" w:fill="FFFFFF"/>
        </w:rPr>
        <w:t>Ohio St. J. Crim. L.</w:t>
      </w:r>
      <w:r w:rsidRPr="0035590C">
        <w:rPr>
          <w:rFonts w:ascii="Times New Roman" w:hAnsi="Times New Roman" w:cs="Times New Roman"/>
          <w:color w:val="222222"/>
          <w:sz w:val="24"/>
          <w:szCs w:val="24"/>
          <w:shd w:val="clear" w:color="auto" w:fill="FFFFFF"/>
        </w:rPr>
        <w:t>, </w:t>
      </w:r>
      <w:r w:rsidRPr="0035590C">
        <w:rPr>
          <w:rFonts w:ascii="Times New Roman" w:hAnsi="Times New Roman" w:cs="Times New Roman"/>
          <w:i/>
          <w:iCs/>
          <w:color w:val="222222"/>
          <w:sz w:val="24"/>
          <w:szCs w:val="24"/>
          <w:shd w:val="clear" w:color="auto" w:fill="FFFFFF"/>
        </w:rPr>
        <w:t>10</w:t>
      </w:r>
      <w:r w:rsidRPr="0035590C">
        <w:rPr>
          <w:rFonts w:ascii="Times New Roman" w:hAnsi="Times New Roman" w:cs="Times New Roman"/>
          <w:color w:val="222222"/>
          <w:sz w:val="24"/>
          <w:szCs w:val="24"/>
          <w:shd w:val="clear" w:color="auto" w:fill="FFFFFF"/>
        </w:rPr>
        <w:t>, 393.</w:t>
      </w:r>
    </w:p>
    <w:sectPr w:rsidSect="0035590C">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1E75" w14:paraId="5F068FB2" w14:textId="2E34510B">
    <w:pPr>
      <w:pStyle w:val="Header"/>
    </w:pPr>
    <w:r w:rsidRPr="0035590C">
      <w:rPr>
        <w:rFonts w:ascii="Times New Roman" w:hAnsi="Times New Roman" w:cs="Times New Roman"/>
        <w:sz w:val="24"/>
        <w:szCs w:val="24"/>
      </w:rPr>
      <w:t xml:space="preserve">SEARCH AND SEIZURE PROTECTIONS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58088E">
      <w:rPr>
        <w:noProof/>
      </w:rPr>
      <w:t>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590C" w:rsidRPr="0035590C" w14:paraId="1FB67F7F" w14:textId="2552710C">
    <w:pPr>
      <w:pStyle w:val="Header"/>
      <w:rPr>
        <w:rFonts w:ascii="Times New Roman" w:hAnsi="Times New Roman" w:cs="Times New Roman"/>
        <w:sz w:val="24"/>
        <w:szCs w:val="24"/>
      </w:rPr>
    </w:pPr>
    <w:r w:rsidRPr="0035590C">
      <w:rPr>
        <w:rFonts w:ascii="Times New Roman" w:hAnsi="Times New Roman" w:cs="Times New Roman"/>
        <w:sz w:val="24"/>
        <w:szCs w:val="24"/>
      </w:rPr>
      <w:t xml:space="preserve">Running head: SEARCH AND SEIZURE PROTECTIONS </w:t>
    </w:r>
    <w:r>
      <w:rPr>
        <w:rFonts w:ascii="Times New Roman" w:hAnsi="Times New Roman" w:cs="Times New Roman"/>
        <w:sz w:val="24"/>
        <w:szCs w:val="24"/>
      </w:rPr>
      <w:tab/>
    </w:r>
    <w:r w:rsidRPr="0035590C">
      <w:rPr>
        <w:rFonts w:ascii="Times New Roman" w:hAnsi="Times New Roman" w:cs="Times New Roman"/>
        <w:sz w:val="24"/>
        <w:szCs w:val="24"/>
      </w:rPr>
      <w:fldChar w:fldCharType="begin"/>
    </w:r>
    <w:r w:rsidRPr="0035590C">
      <w:rPr>
        <w:rFonts w:ascii="Times New Roman" w:hAnsi="Times New Roman" w:cs="Times New Roman"/>
        <w:sz w:val="24"/>
        <w:szCs w:val="24"/>
      </w:rPr>
      <w:instrText xml:space="preserve"> PAGE   \* MERGEFORMAT </w:instrText>
    </w:r>
    <w:r w:rsidRPr="0035590C">
      <w:rPr>
        <w:rFonts w:ascii="Times New Roman" w:hAnsi="Times New Roman" w:cs="Times New Roman"/>
        <w:sz w:val="24"/>
        <w:szCs w:val="24"/>
      </w:rPr>
      <w:fldChar w:fldCharType="separate"/>
    </w:r>
    <w:r w:rsidR="0058088E">
      <w:rPr>
        <w:rFonts w:ascii="Times New Roman" w:hAnsi="Times New Roman" w:cs="Times New Roman"/>
        <w:noProof/>
        <w:sz w:val="24"/>
        <w:szCs w:val="24"/>
      </w:rPr>
      <w:t>1</w:t>
    </w:r>
    <w:r w:rsidRPr="0035590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CEF"/>
    <w:rsid w:val="00055577"/>
    <w:rsid w:val="00160CEF"/>
    <w:rsid w:val="002E3B30"/>
    <w:rsid w:val="0035590C"/>
    <w:rsid w:val="0058088E"/>
    <w:rsid w:val="0059538B"/>
    <w:rsid w:val="00613232"/>
    <w:rsid w:val="00774138"/>
    <w:rsid w:val="007D2C5B"/>
    <w:rsid w:val="00840A62"/>
    <w:rsid w:val="00942A4D"/>
    <w:rsid w:val="009824CE"/>
    <w:rsid w:val="009D727F"/>
    <w:rsid w:val="00A41E75"/>
    <w:rsid w:val="00AB3F14"/>
    <w:rsid w:val="00B2765C"/>
    <w:rsid w:val="00B47D46"/>
    <w:rsid w:val="00D45F10"/>
    <w:rsid w:val="00DA367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590C"/>
    <w:rPr>
      <w:color w:val="0563C1" w:themeColor="hyperlink"/>
      <w:u w:val="single"/>
    </w:rPr>
  </w:style>
  <w:style w:type="paragraph" w:styleId="Header">
    <w:name w:val="header"/>
    <w:basedOn w:val="Normal"/>
    <w:link w:val="HeaderChar"/>
    <w:uiPriority w:val="99"/>
    <w:unhideWhenUsed/>
    <w:rsid w:val="00355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590C"/>
    <w:rPr>
      <w:lang w:val="en-GB"/>
    </w:rPr>
  </w:style>
  <w:style w:type="paragraph" w:styleId="Footer">
    <w:name w:val="footer"/>
    <w:basedOn w:val="Normal"/>
    <w:link w:val="FooterChar"/>
    <w:uiPriority w:val="99"/>
    <w:unhideWhenUsed/>
    <w:rsid w:val="00355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590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cholarlycommons.law.northwestern.edu/cgi/viewcontent.cgi?article=7353&amp;context=jclc" TargetMode="External" /><Relationship Id="rId5" Type="http://schemas.openxmlformats.org/officeDocument/2006/relationships/hyperlink" Target="https://scholarlycommons.law.northwestern.edu/cgi/viewcontent.cgi?article=5473&amp;context=jclc" TargetMode="External" /><Relationship Id="rId6" Type="http://schemas.openxmlformats.org/officeDocument/2006/relationships/hyperlink" Target="https://law.justia.com/constitution/us/amendment-05/09-confessions.html" TargetMode="External" /><Relationship Id="rId7" Type="http://schemas.openxmlformats.org/officeDocument/2006/relationships/hyperlink" Target="https://www.foxrothschild.com/publications/destroying-or-withholding-of-evidence-may-harm-your-case-even-if-you-arent-officially-sanctioned/"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5</Pages>
  <Words>1062</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2019-05-25T07:11:00Z</dcterms:created>
  <dcterms:modified xsi:type="dcterms:W3CDTF">2019-05-25T18:35:00Z</dcterms:modified>
</cp:coreProperties>
</file>